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6787F1" w14:textId="77777777" w:rsidR="007E10EC" w:rsidRPr="00D72EB7" w:rsidRDefault="007E10EC" w:rsidP="007E10EC">
      <w:pPr>
        <w:pStyle w:val="Cuerpo"/>
        <w:jc w:val="center"/>
        <w:rPr>
          <w:rStyle w:val="Ninguno"/>
          <w:lang w:val="es-AR"/>
        </w:rPr>
      </w:pPr>
      <w:r w:rsidRPr="00D72EB7">
        <w:rPr>
          <w:lang w:val="es-AR"/>
        </w:rPr>
        <w:t>El Senado y Cámara de Diputados de la Nación Argentina reunidos en Congreso, etc. sancionan con fuerza de</w:t>
      </w:r>
    </w:p>
    <w:p w14:paraId="3FC4F723" w14:textId="156C5F81" w:rsidR="007E10EC" w:rsidRPr="00D72EB7" w:rsidRDefault="007E10EC" w:rsidP="007E10EC">
      <w:pPr>
        <w:pStyle w:val="Centrado"/>
        <w:rPr>
          <w:caps/>
          <w:lang w:val="es-AR"/>
        </w:rPr>
      </w:pPr>
      <w:r w:rsidRPr="00D72EB7">
        <w:rPr>
          <w:lang w:val="es-AR"/>
        </w:rPr>
        <w:t>Ley:</w:t>
      </w:r>
    </w:p>
    <w:p w14:paraId="05566F5A" w14:textId="68867852" w:rsidR="00233548" w:rsidRPr="00D72EB7" w:rsidRDefault="003140B2" w:rsidP="00233548">
      <w:pPr>
        <w:pStyle w:val="Cuerpo"/>
        <w:numPr>
          <w:ilvl w:val="0"/>
          <w:numId w:val="6"/>
        </w:numPr>
        <w:ind w:left="0" w:firstLine="0"/>
        <w:rPr>
          <w:lang w:val="es-AR"/>
        </w:rPr>
      </w:pPr>
      <w:r w:rsidRPr="00D72EB7">
        <w:rPr>
          <w:lang w:val="es-AR"/>
        </w:rPr>
        <w:t>Modifícase</w:t>
      </w:r>
      <w:r w:rsidR="00F7775A" w:rsidRPr="00D72EB7">
        <w:rPr>
          <w:lang w:val="es-AR"/>
        </w:rPr>
        <w:t xml:space="preserve"> el artículo 15 de la Ley </w:t>
      </w:r>
      <w:r w:rsidR="007D4AD6" w:rsidRPr="00D72EB7">
        <w:rPr>
          <w:lang w:val="es-AR"/>
        </w:rPr>
        <w:t>N° 27.618</w:t>
      </w:r>
      <w:r w:rsidR="00994F8C" w:rsidRPr="00D72EB7">
        <w:rPr>
          <w:lang w:val="es-AR"/>
        </w:rPr>
        <w:t xml:space="preserve">, </w:t>
      </w:r>
      <w:r w:rsidR="00D82100" w:rsidRPr="00D72EB7">
        <w:rPr>
          <w:lang w:val="es-AR"/>
        </w:rPr>
        <w:t>el que quedará redactado de la siguiente forma:</w:t>
      </w:r>
    </w:p>
    <w:p w14:paraId="4A2F6822" w14:textId="586F973C" w:rsidR="009848C7" w:rsidRPr="00D72EB7" w:rsidRDefault="00DC1E15" w:rsidP="00603EC1">
      <w:pPr>
        <w:pStyle w:val="Cuerpo"/>
        <w:spacing w:after="0"/>
        <w:rPr>
          <w:i/>
          <w:iCs/>
          <w:lang w:val="es-AR"/>
        </w:rPr>
      </w:pPr>
      <w:r w:rsidRPr="00D72EB7">
        <w:rPr>
          <w:i/>
          <w:iCs/>
          <w:lang w:val="es-AR"/>
        </w:rPr>
        <w:t>“ARTÍCULO 1</w:t>
      </w:r>
      <w:r w:rsidR="00DF4618" w:rsidRPr="00D72EB7">
        <w:rPr>
          <w:i/>
          <w:iCs/>
          <w:lang w:val="es-AR"/>
        </w:rPr>
        <w:t>5</w:t>
      </w:r>
      <w:r w:rsidRPr="00D72EB7">
        <w:rPr>
          <w:i/>
          <w:iCs/>
          <w:lang w:val="es-AR"/>
        </w:rPr>
        <w:t>.-</w:t>
      </w:r>
      <w:r w:rsidR="00DF4618" w:rsidRPr="00D72EB7">
        <w:rPr>
          <w:i/>
          <w:iCs/>
          <w:lang w:val="es-AR"/>
        </w:rPr>
        <w:t xml:space="preserve"> </w:t>
      </w:r>
      <w:r w:rsidR="009848C7" w:rsidRPr="00D72EB7">
        <w:rPr>
          <w:i/>
          <w:iCs/>
          <w:lang w:val="es-AR"/>
        </w:rPr>
        <w:t xml:space="preserve">A los fines dispuestos en el artículo 52 del anexo de la ley 24.977, sus modificaciones y complementarias, para la actualización que debe efectuarse en el mes de enero de 2021, se considerará, con efectos a partir del 1° de </w:t>
      </w:r>
      <w:r w:rsidR="00663010" w:rsidRPr="00D72EB7">
        <w:rPr>
          <w:b/>
          <w:bCs/>
          <w:i/>
          <w:iCs/>
          <w:lang w:val="es-AR"/>
        </w:rPr>
        <w:t>julio</w:t>
      </w:r>
      <w:r w:rsidR="00663010" w:rsidRPr="00D72EB7">
        <w:rPr>
          <w:i/>
          <w:iCs/>
          <w:lang w:val="es-AR"/>
        </w:rPr>
        <w:t xml:space="preserve"> d</w:t>
      </w:r>
      <w:r w:rsidR="009848C7" w:rsidRPr="00D72EB7">
        <w:rPr>
          <w:i/>
          <w:iCs/>
          <w:lang w:val="es-AR"/>
        </w:rPr>
        <w:t>e 2021, la variación del haber mínimo garantizado por el artículo 125 de la Ley Nacional del Sistema Integrado de Jubilaciones y Pensiones, 24.241, y sus modificaciones y normas complementarias correspondiente al año calendario completo finalizado el 31 de diciembre de 2020.</w:t>
      </w:r>
    </w:p>
    <w:p w14:paraId="71B0D988" w14:textId="77777777" w:rsidR="009848C7" w:rsidRPr="00D72EB7" w:rsidRDefault="009848C7" w:rsidP="00603EC1">
      <w:pPr>
        <w:pStyle w:val="Cuerpo"/>
        <w:spacing w:after="0"/>
        <w:rPr>
          <w:i/>
          <w:iCs/>
          <w:lang w:val="es-AR"/>
        </w:rPr>
      </w:pPr>
      <w:r w:rsidRPr="00D72EB7">
        <w:rPr>
          <w:i/>
          <w:iCs/>
          <w:lang w:val="es-AR"/>
        </w:rPr>
        <w:t>Con posterioridad a la entrada en vigencia de esta ley, la Administración Federal de Ingresos Públicos será la encargada, por única vez, de volver a categorizar a los pequeños contribuyentes adheridos al Régimen Simplificado, aun cuando esa adhesión hubiese ocurrido a partir del 1° de enero de 2021, inclusive, en la categoría que les corresponda, considerando los valores de los parámetros de ingresos brutos y alquileres devengados que resulten de la actualización que se efectúe en los términos del párrafo precedente y la información oportunamente declarada por los mencionados pequeños contribuyentes. Los pequeños contribuyentes adheridos al Régimen Simplificado podrán solicitar la modificación de la referida nueva categoría. La falta de manifestación expresa implicará su ratificación.</w:t>
      </w:r>
    </w:p>
    <w:p w14:paraId="3EEAE8F6" w14:textId="2CD425F7" w:rsidR="00DC1E15" w:rsidRPr="00D72EB7" w:rsidRDefault="009848C7" w:rsidP="009848C7">
      <w:pPr>
        <w:pStyle w:val="Cuerpo"/>
        <w:rPr>
          <w:i/>
          <w:iCs/>
          <w:lang w:val="es-AR"/>
        </w:rPr>
      </w:pPr>
      <w:r w:rsidRPr="00D72EB7">
        <w:rPr>
          <w:i/>
          <w:iCs/>
          <w:lang w:val="es-AR"/>
        </w:rPr>
        <w:t>El pago fuera de término del importe en concepto de impuesto integrado y de las cotizaciones previsionales, correspondiente a las cuotas del Régimen Simplificado cuyo vencimiento hubiera operado entre el 1° de enero de 2021 y el mes inmediato anterior al de la nueva categorización, no dará lugar a intereses resarcitorios.</w:t>
      </w:r>
      <w:r w:rsidR="00DC1E15" w:rsidRPr="00D72EB7">
        <w:rPr>
          <w:i/>
          <w:iCs/>
          <w:lang w:val="es-AR"/>
        </w:rPr>
        <w:t>”</w:t>
      </w:r>
    </w:p>
    <w:p w14:paraId="4686B4C7" w14:textId="586DCD0E" w:rsidR="005215AB" w:rsidRPr="00D72EB7" w:rsidRDefault="00A85F16" w:rsidP="00233548">
      <w:pPr>
        <w:pStyle w:val="Cuerpo"/>
        <w:numPr>
          <w:ilvl w:val="0"/>
          <w:numId w:val="6"/>
        </w:numPr>
        <w:ind w:left="0" w:firstLine="0"/>
        <w:rPr>
          <w:lang w:val="es-AR"/>
        </w:rPr>
      </w:pPr>
      <w:r w:rsidRPr="00D72EB7">
        <w:rPr>
          <w:lang w:val="es-AR"/>
        </w:rPr>
        <w:t xml:space="preserve">La ADMINISTRACIÓN FEDERAL DE INGRESOS PÚBLICOS deberá </w:t>
      </w:r>
      <w:r w:rsidR="00CE6BFA" w:rsidRPr="00D72EB7">
        <w:rPr>
          <w:lang w:val="es-AR"/>
        </w:rPr>
        <w:t>proceder a la devolución de los montos debitados</w:t>
      </w:r>
      <w:r w:rsidR="00B734A8" w:rsidRPr="00D72EB7">
        <w:rPr>
          <w:lang w:val="es-AR"/>
        </w:rPr>
        <w:t xml:space="preserve"> en concepto de actualización </w:t>
      </w:r>
      <w:r w:rsidR="00B06A7F" w:rsidRPr="00D72EB7">
        <w:rPr>
          <w:lang w:val="es-AR"/>
        </w:rPr>
        <w:t xml:space="preserve">de los parámetros indicados en el artículo </w:t>
      </w:r>
      <w:r w:rsidR="00597004" w:rsidRPr="00D72EB7">
        <w:rPr>
          <w:lang w:val="es-AR"/>
        </w:rPr>
        <w:t xml:space="preserve">anterior </w:t>
      </w:r>
      <w:r w:rsidR="00943E7B" w:rsidRPr="00D72EB7">
        <w:rPr>
          <w:lang w:val="es-AR"/>
        </w:rPr>
        <w:t xml:space="preserve">correspondiente a los periodos </w:t>
      </w:r>
      <w:r w:rsidR="00CD512A" w:rsidRPr="00D72EB7">
        <w:rPr>
          <w:lang w:val="es-AR"/>
        </w:rPr>
        <w:t>enero a junio de 2021.</w:t>
      </w:r>
    </w:p>
    <w:p w14:paraId="69D1110E" w14:textId="7AD48888" w:rsidR="00233548" w:rsidRPr="00D72EB7" w:rsidRDefault="00233548" w:rsidP="00233548">
      <w:pPr>
        <w:pStyle w:val="Cuerpo"/>
        <w:numPr>
          <w:ilvl w:val="0"/>
          <w:numId w:val="6"/>
        </w:numPr>
        <w:ind w:left="0" w:firstLine="0"/>
        <w:rPr>
          <w:lang w:val="es-AR"/>
        </w:rPr>
      </w:pPr>
      <w:r w:rsidRPr="00D72EB7">
        <w:rPr>
          <w:lang w:val="es-AR"/>
        </w:rPr>
        <w:t>Comuníquese al Poder Ejecutivo Nacional.</w:t>
      </w:r>
    </w:p>
    <w:p w14:paraId="14883F74" w14:textId="77777777" w:rsidR="00233548" w:rsidRPr="00D72EB7" w:rsidRDefault="00233548" w:rsidP="00233548">
      <w:pPr>
        <w:pStyle w:val="Cuerpo"/>
        <w:rPr>
          <w:lang w:val="es-AR"/>
        </w:rPr>
      </w:pPr>
    </w:p>
    <w:p w14:paraId="2555D86C" w14:textId="34EB7531" w:rsidR="00233548" w:rsidRPr="00D72EB7" w:rsidRDefault="009806B4" w:rsidP="00603EC1">
      <w:pPr>
        <w:pStyle w:val="Cuerpo"/>
        <w:jc w:val="right"/>
        <w:rPr>
          <w:lang w:val="es-AR"/>
        </w:rPr>
      </w:pPr>
      <w:r w:rsidRPr="00D72EB7">
        <w:rPr>
          <w:lang w:val="es-AR"/>
        </w:rPr>
        <w:t>María Belén Tapia</w:t>
      </w:r>
      <w:r w:rsidR="00233548" w:rsidRPr="00D72EB7">
        <w:rPr>
          <w:rStyle w:val="Ninguno"/>
          <w:rFonts w:ascii="Arial Unicode MS" w:hAnsi="Arial Unicode MS"/>
          <w:lang w:val="es-AR"/>
        </w:rPr>
        <w:br w:type="page"/>
      </w:r>
    </w:p>
    <w:p w14:paraId="695C6F03" w14:textId="77777777" w:rsidR="00233548" w:rsidRPr="00D72EB7" w:rsidRDefault="00233548" w:rsidP="00233548">
      <w:pPr>
        <w:pStyle w:val="Centrado"/>
        <w:rPr>
          <w:lang w:val="es-AR"/>
        </w:rPr>
      </w:pPr>
      <w:r w:rsidRPr="00D72EB7">
        <w:rPr>
          <w:lang w:val="es-AR"/>
        </w:rPr>
        <w:lastRenderedPageBreak/>
        <w:t>FUNDAMENTOS</w:t>
      </w:r>
    </w:p>
    <w:p w14:paraId="1A1BC6BF" w14:textId="77777777" w:rsidR="00233548" w:rsidRPr="00D72EB7" w:rsidRDefault="00233548" w:rsidP="00233548">
      <w:pPr>
        <w:pStyle w:val="Cuerpo"/>
        <w:rPr>
          <w:rStyle w:val="Ninguno"/>
          <w:lang w:val="es-AR"/>
        </w:rPr>
      </w:pPr>
      <w:r w:rsidRPr="00D72EB7">
        <w:rPr>
          <w:rStyle w:val="Ninguno"/>
          <w:lang w:val="es-AR"/>
        </w:rPr>
        <w:t>Señora Presidente:</w:t>
      </w:r>
    </w:p>
    <w:p w14:paraId="36A43C25" w14:textId="31FD014A" w:rsidR="00233548" w:rsidRPr="00D72EB7" w:rsidRDefault="00233548" w:rsidP="00233548">
      <w:pPr>
        <w:pStyle w:val="Cuerpo"/>
        <w:rPr>
          <w:lang w:val="es-AR"/>
        </w:rPr>
      </w:pPr>
      <w:r w:rsidRPr="00D72EB7">
        <w:rPr>
          <w:lang w:val="es-AR"/>
        </w:rPr>
        <w:t xml:space="preserve">El presente proyecto de ley tiene por objeto </w:t>
      </w:r>
      <w:r w:rsidR="003D548D" w:rsidRPr="00D72EB7">
        <w:rPr>
          <w:lang w:val="es-AR"/>
        </w:rPr>
        <w:t>contemplar la s</w:t>
      </w:r>
      <w:r w:rsidR="006B3435" w:rsidRPr="00D72EB7">
        <w:rPr>
          <w:lang w:val="es-AR"/>
        </w:rPr>
        <w:t>ituación</w:t>
      </w:r>
      <w:r w:rsidR="003D548D" w:rsidRPr="00D72EB7">
        <w:rPr>
          <w:lang w:val="es-AR"/>
        </w:rPr>
        <w:t xml:space="preserve"> de los contribuyentes inscriptos en </w:t>
      </w:r>
      <w:r w:rsidR="002D1A56" w:rsidRPr="00D72EB7">
        <w:rPr>
          <w:lang w:val="es-AR"/>
        </w:rPr>
        <w:t>sujetos comprendidos en el Régimen Simplificado para Pequeños Contribuyentes, regulado en la Ley Nº 24.977</w:t>
      </w:r>
      <w:r w:rsidR="00A5355A" w:rsidRPr="00D72EB7">
        <w:rPr>
          <w:lang w:val="es-AR"/>
        </w:rPr>
        <w:t>.</w:t>
      </w:r>
    </w:p>
    <w:p w14:paraId="5B32EEA4" w14:textId="123CB887" w:rsidR="00A5355A" w:rsidRPr="00D72EB7" w:rsidRDefault="00A5355A" w:rsidP="00233548">
      <w:pPr>
        <w:pStyle w:val="Cuerpo"/>
        <w:rPr>
          <w:lang w:val="es-AR"/>
        </w:rPr>
      </w:pPr>
      <w:r w:rsidRPr="00D72EB7">
        <w:rPr>
          <w:lang w:val="es-AR"/>
        </w:rPr>
        <w:t>Mediante la Ley Nº 27.618 se dispusieron una serie de medidas de carácter transitorio y otras de vigencia permanente, vinculadas a la permanencia de los sujetos comprendidos en el Régimen Simplificado para Pequeños Contribuyentes.</w:t>
      </w:r>
      <w:r w:rsidR="00F300C9" w:rsidRPr="00D72EB7">
        <w:rPr>
          <w:lang w:val="es-AR"/>
        </w:rPr>
        <w:t xml:space="preserve"> El artículo 15 de la citada ley dispuso con efectos a partir del 1° de enero de 2021, la actualización de los valores de los parámetros de ingresos brutos, alquileres devengados correspondientes a cada categoría, y los importes del impuesto integrado y de las cotizaciones previsionales, en función de la variación del haber mínimo garantizado por el artículo 125 de la Ley N° 24.241 y sus modificaciones, correspondiente al año calendario completo finalizado el 31 de diciembre de 2020.</w:t>
      </w:r>
      <w:r w:rsidR="00A5544A" w:rsidRPr="00D72EB7">
        <w:rPr>
          <w:lang w:val="es-AR"/>
        </w:rPr>
        <w:t xml:space="preserve"> Por su parte, el Decreto N° 337/21, reglamentó los preceptos de la referida Ley N° 27.618.</w:t>
      </w:r>
    </w:p>
    <w:p w14:paraId="74E797DD" w14:textId="7B531DBE" w:rsidR="00233548" w:rsidRPr="00D72EB7" w:rsidRDefault="00D87B75" w:rsidP="00233548">
      <w:pPr>
        <w:pStyle w:val="Cuerpo"/>
        <w:rPr>
          <w:lang w:val="es-AR"/>
        </w:rPr>
      </w:pPr>
      <w:r w:rsidRPr="00D72EB7">
        <w:rPr>
          <w:lang w:val="es-AR"/>
        </w:rPr>
        <w:t>El día 31 de mayo de 2021</w:t>
      </w:r>
      <w:r w:rsidR="009B5345" w:rsidRPr="00D72EB7">
        <w:rPr>
          <w:lang w:val="es-AR"/>
        </w:rPr>
        <w:t xml:space="preserve"> la ADMINISTRACIÓN FEDERAL DE INGRESOS PÚBLICOS</w:t>
      </w:r>
      <w:r w:rsidR="00174DF7" w:rsidRPr="00D72EB7">
        <w:rPr>
          <w:lang w:val="es-AR"/>
        </w:rPr>
        <w:t>, mediante la Resolución General 5003/2021</w:t>
      </w:r>
      <w:r w:rsidR="00462A77" w:rsidRPr="00D72EB7">
        <w:rPr>
          <w:lang w:val="es-AR"/>
        </w:rPr>
        <w:t>,</w:t>
      </w:r>
      <w:r w:rsidR="00174DF7" w:rsidRPr="00D72EB7">
        <w:rPr>
          <w:lang w:val="es-AR"/>
        </w:rPr>
        <w:t xml:space="preserve"> </w:t>
      </w:r>
      <w:r w:rsidR="00462A77" w:rsidRPr="00D72EB7">
        <w:rPr>
          <w:lang w:val="es-AR"/>
        </w:rPr>
        <w:t>re</w:t>
      </w:r>
      <w:r w:rsidR="00174DF7" w:rsidRPr="00D72EB7">
        <w:rPr>
          <w:lang w:val="es-AR"/>
        </w:rPr>
        <w:t>categori</w:t>
      </w:r>
      <w:r w:rsidR="00462A77" w:rsidRPr="00D72EB7">
        <w:rPr>
          <w:lang w:val="es-AR"/>
        </w:rPr>
        <w:t xml:space="preserve">zó </w:t>
      </w:r>
      <w:r w:rsidR="00174DF7" w:rsidRPr="00D72EB7">
        <w:rPr>
          <w:lang w:val="es-AR"/>
        </w:rPr>
        <w:t>a los pequeños contribuyentes adheridos al Régimen Simplificado</w:t>
      </w:r>
      <w:r w:rsidR="004870A3" w:rsidRPr="00D72EB7">
        <w:rPr>
          <w:lang w:val="es-AR"/>
        </w:rPr>
        <w:t xml:space="preserve"> y procedió a actualizar los montos a pagar con retroactividad a enero de 2021.</w:t>
      </w:r>
    </w:p>
    <w:p w14:paraId="35E41999" w14:textId="6C7DBFDD" w:rsidR="005149B8" w:rsidRPr="00D72EB7" w:rsidRDefault="00041345" w:rsidP="00333AED">
      <w:pPr>
        <w:pStyle w:val="Cuerpo"/>
        <w:rPr>
          <w:lang w:val="es-AR"/>
        </w:rPr>
      </w:pPr>
      <w:r w:rsidRPr="00D72EB7">
        <w:rPr>
          <w:lang w:val="es-AR"/>
        </w:rPr>
        <w:t>M</w:t>
      </w:r>
      <w:r w:rsidR="00BD5DC2" w:rsidRPr="00D72EB7">
        <w:rPr>
          <w:lang w:val="es-AR"/>
        </w:rPr>
        <w:t>uchos contribuyentes ya cumplieron con las cuotas de enero a mayo acorde a la normativa anterior</w:t>
      </w:r>
      <w:r w:rsidR="0076136C" w:rsidRPr="00D72EB7">
        <w:rPr>
          <w:lang w:val="es-AR"/>
        </w:rPr>
        <w:t>.</w:t>
      </w:r>
      <w:r w:rsidR="00BD5DC2" w:rsidRPr="00D72EB7">
        <w:rPr>
          <w:lang w:val="es-AR"/>
        </w:rPr>
        <w:t xml:space="preserve"> </w:t>
      </w:r>
      <w:r w:rsidR="00BA780B" w:rsidRPr="00D72EB7">
        <w:rPr>
          <w:lang w:val="es-AR"/>
        </w:rPr>
        <w:t xml:space="preserve">Por lo tanto, la norma en cuestión </w:t>
      </w:r>
      <w:r w:rsidR="00333AED" w:rsidRPr="00D72EB7">
        <w:rPr>
          <w:lang w:val="es-AR"/>
        </w:rPr>
        <w:t xml:space="preserve">se opone a la </w:t>
      </w:r>
      <w:r w:rsidR="00333AED" w:rsidRPr="00D72EB7">
        <w:rPr>
          <w:i/>
          <w:iCs/>
          <w:lang w:val="es-AR"/>
        </w:rPr>
        <w:t>“doctrina del efecto liberatorio del pago”</w:t>
      </w:r>
      <w:r w:rsidR="00AE4CA7" w:rsidRPr="00D72EB7">
        <w:rPr>
          <w:lang w:val="es-AR"/>
        </w:rPr>
        <w:t xml:space="preserve"> </w:t>
      </w:r>
      <w:r w:rsidR="009B54FF" w:rsidRPr="00D72EB7">
        <w:rPr>
          <w:lang w:val="es-AR"/>
        </w:rPr>
        <w:t xml:space="preserve">expresada por la </w:t>
      </w:r>
      <w:r w:rsidR="00AE4CA7" w:rsidRPr="00D72EB7">
        <w:rPr>
          <w:lang w:val="es-AR"/>
        </w:rPr>
        <w:t>Corte Suprema de Justicia de la Nación</w:t>
      </w:r>
      <w:r w:rsidR="00AA74A7">
        <w:rPr>
          <w:lang w:val="es-AR"/>
        </w:rPr>
        <w:t>, que</w:t>
      </w:r>
      <w:r w:rsidR="00F93405">
        <w:rPr>
          <w:lang w:val="es-AR"/>
        </w:rPr>
        <w:t xml:space="preserve"> ha</w:t>
      </w:r>
      <w:r w:rsidR="00AE4CA7" w:rsidRPr="00D72EB7">
        <w:rPr>
          <w:lang w:val="es-AR"/>
        </w:rPr>
        <w:t xml:space="preserve"> </w:t>
      </w:r>
      <w:r w:rsidR="00012016" w:rsidRPr="00D72EB7">
        <w:rPr>
          <w:lang w:val="es-AR"/>
        </w:rPr>
        <w:t>señala</w:t>
      </w:r>
      <w:r w:rsidR="00F93405">
        <w:rPr>
          <w:lang w:val="es-AR"/>
        </w:rPr>
        <w:t>do</w:t>
      </w:r>
      <w:r w:rsidR="00AA74A7">
        <w:rPr>
          <w:lang w:val="es-AR"/>
        </w:rPr>
        <w:t xml:space="preserve"> </w:t>
      </w:r>
      <w:r w:rsidR="0069163B" w:rsidRPr="00D72EB7">
        <w:rPr>
          <w:lang w:val="es-AR"/>
        </w:rPr>
        <w:t>reiteradamente que</w:t>
      </w:r>
      <w:r w:rsidR="003564AF">
        <w:rPr>
          <w:lang w:val="es-AR"/>
        </w:rPr>
        <w:t xml:space="preserve"> un revalú</w:t>
      </w:r>
      <w:r w:rsidR="00E8342D">
        <w:rPr>
          <w:lang w:val="es-AR"/>
        </w:rPr>
        <w:t>o impositivo</w:t>
      </w:r>
      <w:r w:rsidR="0069163B" w:rsidRPr="00D72EB7">
        <w:rPr>
          <w:lang w:val="es-AR"/>
        </w:rPr>
        <w:t xml:space="preserve"> </w:t>
      </w:r>
      <w:r w:rsidR="005149B8" w:rsidRPr="00D72EB7">
        <w:rPr>
          <w:i/>
          <w:iCs/>
          <w:lang w:val="es-AR"/>
        </w:rPr>
        <w:t>“después de exigido y satisfecho el tributo, se crearía una situación de verdadera incertidumbre para el contribuyente y una grave perturbación en las transacciones que tuvieran por objeto la fortuna inmobiliaria, pues con un sistema de ese tipo no sería posible saber nunca al comprar, al vender o al constituir derechos reales si se adeudan o no impuestos de contribución directa"</w:t>
      </w:r>
      <w:r w:rsidR="005149B8" w:rsidRPr="00D72EB7">
        <w:rPr>
          <w:lang w:val="es-AR"/>
        </w:rPr>
        <w:t xml:space="preserve"> (Fallos: 209:213). En otro precedente se destacó que si se admitiera esa facultad </w:t>
      </w:r>
      <w:r w:rsidR="005149B8" w:rsidRPr="00D72EB7">
        <w:rPr>
          <w:i/>
          <w:iCs/>
          <w:lang w:val="es-AR"/>
        </w:rPr>
        <w:t>"la estabilidad de los derechos sería ilusoria y los contribuyentes no estarían nunca seguros en sus relaciones con el Fisco"</w:t>
      </w:r>
      <w:r w:rsidR="005149B8" w:rsidRPr="00D72EB7">
        <w:rPr>
          <w:lang w:val="es-AR"/>
        </w:rPr>
        <w:t xml:space="preserve"> (Fallos: 188:293, doctrina reiterada en Fallos: 237:556). En el citado pronunciamiento de Fallos: 209:213 también ha señalado el Tribunal -con cita del pronunciamiento publicado en Fallos: </w:t>
      </w:r>
      <w:r w:rsidR="005149B8" w:rsidRPr="00D72EB7">
        <w:rPr>
          <w:lang w:val="es-AR"/>
        </w:rPr>
        <w:lastRenderedPageBreak/>
        <w:t xml:space="preserve">154:162- que </w:t>
      </w:r>
      <w:r w:rsidR="005149B8" w:rsidRPr="00D72EB7">
        <w:rPr>
          <w:i/>
          <w:iCs/>
          <w:lang w:val="es-AR"/>
        </w:rPr>
        <w:t>"no es función ni obligación de los particulares fiscalizar, controlar o apercibir al Estado por el descuido o ineficacia de los encargados de organizar la buena percepción de la renta cuando ello no afecta a sus derechos"</w:t>
      </w:r>
      <w:r w:rsidR="005149B8" w:rsidRPr="00D72EB7">
        <w:rPr>
          <w:lang w:val="es-AR"/>
        </w:rPr>
        <w:t xml:space="preserve"> (en similares términos: Fallos: 210:611, pág. 627).</w:t>
      </w:r>
    </w:p>
    <w:p w14:paraId="3EA8F198" w14:textId="659CC5F0" w:rsidR="00F72D42" w:rsidRPr="00D72EB7" w:rsidRDefault="001865C5" w:rsidP="00333AED">
      <w:pPr>
        <w:pStyle w:val="Cuerpo"/>
        <w:rPr>
          <w:lang w:val="es-AR"/>
        </w:rPr>
      </w:pPr>
      <w:r w:rsidRPr="00D72EB7">
        <w:rPr>
          <w:lang w:val="es-AR"/>
        </w:rPr>
        <w:t>E</w:t>
      </w:r>
      <w:r w:rsidR="000029AB" w:rsidRPr="00D72EB7">
        <w:rPr>
          <w:lang w:val="es-AR"/>
        </w:rPr>
        <w:t>n el precedente “Bernasconi” (Fallos 321:</w:t>
      </w:r>
      <w:r w:rsidR="000E3ADE" w:rsidRPr="00D72EB7">
        <w:rPr>
          <w:lang w:val="es-AR"/>
        </w:rPr>
        <w:t>2933)</w:t>
      </w:r>
      <w:r w:rsidR="00B43138">
        <w:rPr>
          <w:lang w:val="es-AR"/>
        </w:rPr>
        <w:t>, donde se discutían c</w:t>
      </w:r>
      <w:r w:rsidR="00B43138" w:rsidRPr="00B43138">
        <w:rPr>
          <w:lang w:val="es-AR"/>
        </w:rPr>
        <w:t>uestiones relativas a revaluó inmobiliarios y prescripción de tributos</w:t>
      </w:r>
      <w:r w:rsidR="00B43138">
        <w:rPr>
          <w:lang w:val="es-AR"/>
        </w:rPr>
        <w:t xml:space="preserve">, </w:t>
      </w:r>
      <w:r w:rsidRPr="00D72EB7">
        <w:rPr>
          <w:lang w:val="es-AR"/>
        </w:rPr>
        <w:t>la Corte también se ha expresado en similar sentido</w:t>
      </w:r>
      <w:r w:rsidR="00092F4F" w:rsidRPr="00D72EB7">
        <w:rPr>
          <w:lang w:val="es-AR"/>
        </w:rPr>
        <w:t xml:space="preserve"> diciendo</w:t>
      </w:r>
      <w:r w:rsidR="00BD5281">
        <w:rPr>
          <w:lang w:val="es-AR"/>
        </w:rPr>
        <w:t xml:space="preserve"> que</w:t>
      </w:r>
      <w:r w:rsidR="00092F4F" w:rsidRPr="00D72EB7">
        <w:rPr>
          <w:lang w:val="es-AR"/>
        </w:rPr>
        <w:t xml:space="preserve"> </w:t>
      </w:r>
      <w:r w:rsidR="00092F4F" w:rsidRPr="00561FB5">
        <w:rPr>
          <w:i/>
          <w:iCs/>
          <w:lang w:val="es-AR"/>
        </w:rPr>
        <w:t>“desconocer efectos liberatorios a los pagos oportunamente efectuados por la actora de acuerdo con las liquidaciones realizadas por el fisco municipal, y se apoyan en normas locales cuya aplicación en</w:t>
      </w:r>
      <w:r w:rsidR="00F15B68" w:rsidRPr="00561FB5">
        <w:rPr>
          <w:i/>
          <w:iCs/>
          <w:lang w:val="es-AR"/>
        </w:rPr>
        <w:t xml:space="preserve"> </w:t>
      </w:r>
      <w:r w:rsidR="00D72EB7" w:rsidRPr="00561FB5">
        <w:rPr>
          <w:i/>
          <w:iCs/>
          <w:lang w:val="es-AR"/>
        </w:rPr>
        <w:t>las circunstancias de autos lesionarían principios de raíz constitucional, tal como fue puntualizado por el a quo. Al respecto cabe recordar, a mayor abundamiento, que esta Corte ha resuelto con énfasis y reiteración que la seguridad jurídica -que se vería claramente menoscabada de prosperar la tesis de la comuna- tiene jerarquía constitucional (Fallos: 220:5; 251:78; 317:218 -considerando 9°-, entre muchos otros)”</w:t>
      </w:r>
      <w:r w:rsidR="00D72EB7" w:rsidRPr="00D72EB7">
        <w:rPr>
          <w:lang w:val="es-AR"/>
        </w:rPr>
        <w:t>.</w:t>
      </w:r>
    </w:p>
    <w:p w14:paraId="0C89405C" w14:textId="2549314A" w:rsidR="004870A3" w:rsidRPr="00D72EB7" w:rsidRDefault="00037D87" w:rsidP="00233548">
      <w:pPr>
        <w:pStyle w:val="Cuerpo"/>
        <w:rPr>
          <w:lang w:val="es-AR"/>
        </w:rPr>
      </w:pPr>
      <w:r w:rsidRPr="00D72EB7">
        <w:rPr>
          <w:lang w:val="es-AR"/>
        </w:rPr>
        <w:t xml:space="preserve">Esta medida </w:t>
      </w:r>
      <w:r w:rsidR="00BA780B" w:rsidRPr="00D72EB7">
        <w:rPr>
          <w:lang w:val="es-AR"/>
        </w:rPr>
        <w:t xml:space="preserve">también </w:t>
      </w:r>
      <w:r w:rsidR="00110859" w:rsidRPr="00D72EB7">
        <w:rPr>
          <w:lang w:val="es-AR"/>
        </w:rPr>
        <w:t xml:space="preserve">atenta </w:t>
      </w:r>
      <w:r w:rsidRPr="00D72EB7">
        <w:rPr>
          <w:lang w:val="es-AR"/>
        </w:rPr>
        <w:t xml:space="preserve">contra la equidad y la promoción de un régimen de inclusión tributaria y financiera que pretende el Régimen simplificado de </w:t>
      </w:r>
      <w:r w:rsidR="005807C9" w:rsidRPr="00D72EB7">
        <w:rPr>
          <w:lang w:val="es-AR"/>
        </w:rPr>
        <w:t xml:space="preserve">Monotributo. Sobre </w:t>
      </w:r>
      <w:r w:rsidR="00C43113" w:rsidRPr="00D72EB7">
        <w:rPr>
          <w:lang w:val="es-AR"/>
        </w:rPr>
        <w:t>todo,</w:t>
      </w:r>
      <w:r w:rsidR="005807C9" w:rsidRPr="00D72EB7">
        <w:rPr>
          <w:lang w:val="es-AR"/>
        </w:rPr>
        <w:t xml:space="preserve"> teniendo en cuenta</w:t>
      </w:r>
      <w:r w:rsidR="00D7016C" w:rsidRPr="00D72EB7">
        <w:rPr>
          <w:lang w:val="es-AR"/>
        </w:rPr>
        <w:t xml:space="preserve"> la baja en la facturación </w:t>
      </w:r>
      <w:r w:rsidR="00964A6A" w:rsidRPr="00D72EB7">
        <w:rPr>
          <w:lang w:val="es-AR"/>
        </w:rPr>
        <w:t xml:space="preserve">producidas </w:t>
      </w:r>
      <w:r w:rsidR="00D7016C" w:rsidRPr="00D72EB7">
        <w:rPr>
          <w:lang w:val="es-AR"/>
        </w:rPr>
        <w:t xml:space="preserve">por las medidas de confinamiento </w:t>
      </w:r>
      <w:r w:rsidR="00964A6A" w:rsidRPr="00D72EB7">
        <w:rPr>
          <w:lang w:val="es-AR"/>
        </w:rPr>
        <w:t xml:space="preserve">y cierre de locales comerciales </w:t>
      </w:r>
      <w:r w:rsidR="0061599A" w:rsidRPr="00D72EB7">
        <w:rPr>
          <w:lang w:val="es-AR"/>
        </w:rPr>
        <w:t>a fin de abordar la situación sanitaria.</w:t>
      </w:r>
    </w:p>
    <w:p w14:paraId="00E6CE56" w14:textId="5C56A330" w:rsidR="0061599A" w:rsidRPr="00D72EB7" w:rsidRDefault="0061599A" w:rsidP="00233548">
      <w:pPr>
        <w:pStyle w:val="Cuerpo"/>
        <w:rPr>
          <w:lang w:val="es-AR"/>
        </w:rPr>
      </w:pPr>
      <w:r w:rsidRPr="00D72EB7">
        <w:rPr>
          <w:lang w:val="es-AR"/>
        </w:rPr>
        <w:t xml:space="preserve">Es por ello que </w:t>
      </w:r>
      <w:r w:rsidR="0037650F" w:rsidRPr="00D72EB7">
        <w:rPr>
          <w:lang w:val="es-AR"/>
        </w:rPr>
        <w:t xml:space="preserve">se instruye a la AFIP a </w:t>
      </w:r>
      <w:r w:rsidR="007D0010" w:rsidRPr="00D72EB7">
        <w:rPr>
          <w:lang w:val="es-AR"/>
        </w:rPr>
        <w:t>modificar su decisión y se establece que dicha actualización se produzca a partir del mes de julio de 2021</w:t>
      </w:r>
      <w:r w:rsidR="007B25D3" w:rsidRPr="00D72EB7">
        <w:rPr>
          <w:lang w:val="es-AR"/>
        </w:rPr>
        <w:t xml:space="preserve"> para darle previsibilidad a los contribuyentes.</w:t>
      </w:r>
    </w:p>
    <w:p w14:paraId="73BA01BA" w14:textId="6C00FEC2" w:rsidR="00233548" w:rsidRPr="00D72EB7" w:rsidRDefault="00233548" w:rsidP="00233548">
      <w:pPr>
        <w:pStyle w:val="Cuerpo"/>
        <w:rPr>
          <w:lang w:val="es-AR"/>
        </w:rPr>
      </w:pPr>
      <w:r w:rsidRPr="00D72EB7">
        <w:rPr>
          <w:lang w:val="es-AR"/>
        </w:rPr>
        <w:t>Por los fundamentos expuestos, y por las razones que brindaremos al momento de su tratamiento, es que solicitamos a nuestros pares la aprobación del presente proyecto.</w:t>
      </w:r>
    </w:p>
    <w:p w14:paraId="3E07CF65" w14:textId="77777777" w:rsidR="00A85D0A" w:rsidRPr="00D72EB7" w:rsidRDefault="00A85D0A" w:rsidP="00A85D0A">
      <w:pPr>
        <w:pStyle w:val="Cuerpo"/>
        <w:jc w:val="right"/>
        <w:rPr>
          <w:lang w:val="es-AR"/>
        </w:rPr>
      </w:pPr>
      <w:r w:rsidRPr="00D72EB7">
        <w:rPr>
          <w:lang w:val="es-AR"/>
        </w:rPr>
        <w:t>María Belén Tapia</w:t>
      </w:r>
    </w:p>
    <w:p w14:paraId="4CAC3214" w14:textId="77777777" w:rsidR="00A85D0A" w:rsidRPr="00D72EB7" w:rsidRDefault="00A85D0A" w:rsidP="00A85D0A">
      <w:pPr>
        <w:pStyle w:val="Cuerpo"/>
        <w:jc w:val="right"/>
        <w:rPr>
          <w:lang w:val="es-AR"/>
        </w:rPr>
      </w:pPr>
    </w:p>
    <w:p w14:paraId="7D3A3B74" w14:textId="77777777" w:rsidR="00A85D0A" w:rsidRPr="00D72EB7" w:rsidRDefault="00A85D0A" w:rsidP="00233548">
      <w:pPr>
        <w:pStyle w:val="Cuerpo"/>
        <w:rPr>
          <w:lang w:val="es-AR"/>
        </w:rPr>
      </w:pPr>
    </w:p>
    <w:p w14:paraId="770545B2" w14:textId="77777777" w:rsidR="00A5355A" w:rsidRPr="00D72EB7" w:rsidRDefault="00A5355A">
      <w:pPr>
        <w:pStyle w:val="Cuerpo"/>
        <w:rPr>
          <w:lang w:val="es-AR"/>
        </w:rPr>
      </w:pPr>
    </w:p>
    <w:sectPr w:rsidR="00A5355A" w:rsidRPr="00D72EB7" w:rsidSect="00603EC1">
      <w:headerReference w:type="default" r:id="rId8"/>
      <w:pgSz w:w="12240" w:h="20160" w:code="5"/>
      <w:pgMar w:top="3402" w:right="1701" w:bottom="85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3D09" w14:textId="77777777" w:rsidR="00051BD6" w:rsidRDefault="00051BD6">
      <w:r>
        <w:separator/>
      </w:r>
    </w:p>
  </w:endnote>
  <w:endnote w:type="continuationSeparator" w:id="0">
    <w:p w14:paraId="49E94761" w14:textId="77777777" w:rsidR="00051BD6" w:rsidRDefault="0005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55970" w14:textId="77777777" w:rsidR="00051BD6" w:rsidRDefault="00051BD6">
      <w:r>
        <w:separator/>
      </w:r>
    </w:p>
  </w:footnote>
  <w:footnote w:type="continuationSeparator" w:id="0">
    <w:p w14:paraId="13A623E9" w14:textId="77777777" w:rsidR="00051BD6" w:rsidRDefault="00051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F0BF" w14:textId="2F1F0177" w:rsidR="00DD39AD" w:rsidRPr="00EA197C" w:rsidRDefault="00363EC5" w:rsidP="00DD39AD">
    <w:pPr>
      <w:pStyle w:val="Encabezado"/>
      <w:ind w:left="-284" w:firstLine="284"/>
      <w:jc w:val="right"/>
      <w:rPr>
        <w:rFonts w:ascii="Arial" w:hAnsi="Arial" w:cs="Arial"/>
        <w:i/>
        <w:sz w:val="20"/>
        <w:szCs w:val="20"/>
        <w:lang w:val="es-AR"/>
      </w:rPr>
    </w:pPr>
    <w:r w:rsidRPr="00EA197C">
      <w:rPr>
        <w:rFonts w:ascii="Arial" w:hAnsi="Arial" w:cs="Arial"/>
        <w:i/>
        <w:iCs/>
        <w:sz w:val="20"/>
        <w:szCs w:val="20"/>
        <w:lang w:val="es-AR"/>
      </w:rPr>
      <w:t>2021 – Año de Homenaje al Premio Nobel de Medicina Dr. César Milstein</w:t>
    </w:r>
  </w:p>
  <w:p w14:paraId="08E9F0C0" w14:textId="5387F477" w:rsidR="00D520D0" w:rsidRDefault="00EF1BF9" w:rsidP="00DD39AD">
    <w:pPr>
      <w:pStyle w:val="Encabezadoypie"/>
      <w:jc w:val="right"/>
      <w:rPr>
        <w:rFonts w:hint="eastAsia"/>
      </w:rPr>
    </w:pPr>
    <w:r w:rsidRPr="00EE5F27">
      <w:rPr>
        <w:rFonts w:ascii="Arial" w:hAnsi="Arial" w:cs="Arial"/>
        <w:i/>
        <w:iCs/>
        <w:noProof/>
        <w:sz w:val="16"/>
        <w:szCs w:val="16"/>
        <w:lang w:val="es-ES" w:eastAsia="es-ES"/>
      </w:rPr>
      <w:drawing>
        <wp:anchor distT="0" distB="0" distL="114300" distR="114300" simplePos="0" relativeHeight="251659264" behindDoc="1" locked="0" layoutInCell="1" allowOverlap="1" wp14:anchorId="37E7AAF5" wp14:editId="5C3D24A3">
          <wp:simplePos x="0" y="0"/>
          <wp:positionH relativeFrom="margin">
            <wp:align>center</wp:align>
          </wp:positionH>
          <wp:positionV relativeFrom="paragraph">
            <wp:posOffset>37465</wp:posOffset>
          </wp:positionV>
          <wp:extent cx="1572260" cy="1562100"/>
          <wp:effectExtent l="0" t="0" r="0" b="0"/>
          <wp:wrapTight wrapText="bothSides">
            <wp:wrapPolygon edited="0">
              <wp:start x="9422" y="4478"/>
              <wp:lineTo x="7328" y="5532"/>
              <wp:lineTo x="4711" y="7902"/>
              <wp:lineTo x="4711" y="9220"/>
              <wp:lineTo x="2879" y="12117"/>
              <wp:lineTo x="2617" y="13434"/>
              <wp:lineTo x="4187" y="16859"/>
              <wp:lineTo x="17011" y="16859"/>
              <wp:lineTo x="19105" y="13434"/>
              <wp:lineTo x="17535" y="10537"/>
              <wp:lineTo x="17011" y="8166"/>
              <wp:lineTo x="13871" y="5532"/>
              <wp:lineTo x="11777" y="4478"/>
              <wp:lineTo x="9422" y="4478"/>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enado_alta-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260" cy="156210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F16"/>
    <w:multiLevelType w:val="hybridMultilevel"/>
    <w:tmpl w:val="B2F4B3A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9064E30"/>
    <w:multiLevelType w:val="hybridMultilevel"/>
    <w:tmpl w:val="7414A24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955354D"/>
    <w:multiLevelType w:val="hybridMultilevel"/>
    <w:tmpl w:val="F1AC1B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425D3A01"/>
    <w:multiLevelType w:val="multilevel"/>
    <w:tmpl w:val="020E15BA"/>
    <w:lvl w:ilvl="0">
      <w:start w:val="1"/>
      <w:numFmt w:val="decimal"/>
      <w:pStyle w:val="Estilo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7266538"/>
    <w:multiLevelType w:val="hybridMultilevel"/>
    <w:tmpl w:val="D0341714"/>
    <w:lvl w:ilvl="0" w:tplc="2C0A0001">
      <w:start w:val="1"/>
      <w:numFmt w:val="bullet"/>
      <w:lvlText w:val=""/>
      <w:lvlJc w:val="left"/>
      <w:pPr>
        <w:ind w:left="801" w:hanging="360"/>
      </w:pPr>
      <w:rPr>
        <w:rFonts w:ascii="Symbol" w:hAnsi="Symbol" w:hint="default"/>
      </w:rPr>
    </w:lvl>
    <w:lvl w:ilvl="1" w:tplc="2C0A0003" w:tentative="1">
      <w:start w:val="1"/>
      <w:numFmt w:val="bullet"/>
      <w:lvlText w:val="o"/>
      <w:lvlJc w:val="left"/>
      <w:pPr>
        <w:ind w:left="1521" w:hanging="360"/>
      </w:pPr>
      <w:rPr>
        <w:rFonts w:ascii="Courier New" w:hAnsi="Courier New" w:cs="Courier New" w:hint="default"/>
      </w:rPr>
    </w:lvl>
    <w:lvl w:ilvl="2" w:tplc="2C0A0005" w:tentative="1">
      <w:start w:val="1"/>
      <w:numFmt w:val="bullet"/>
      <w:lvlText w:val=""/>
      <w:lvlJc w:val="left"/>
      <w:pPr>
        <w:ind w:left="2241" w:hanging="360"/>
      </w:pPr>
      <w:rPr>
        <w:rFonts w:ascii="Wingdings" w:hAnsi="Wingdings" w:hint="default"/>
      </w:rPr>
    </w:lvl>
    <w:lvl w:ilvl="3" w:tplc="2C0A0001" w:tentative="1">
      <w:start w:val="1"/>
      <w:numFmt w:val="bullet"/>
      <w:lvlText w:val=""/>
      <w:lvlJc w:val="left"/>
      <w:pPr>
        <w:ind w:left="2961" w:hanging="360"/>
      </w:pPr>
      <w:rPr>
        <w:rFonts w:ascii="Symbol" w:hAnsi="Symbol" w:hint="default"/>
      </w:rPr>
    </w:lvl>
    <w:lvl w:ilvl="4" w:tplc="2C0A0003" w:tentative="1">
      <w:start w:val="1"/>
      <w:numFmt w:val="bullet"/>
      <w:lvlText w:val="o"/>
      <w:lvlJc w:val="left"/>
      <w:pPr>
        <w:ind w:left="3681" w:hanging="360"/>
      </w:pPr>
      <w:rPr>
        <w:rFonts w:ascii="Courier New" w:hAnsi="Courier New" w:cs="Courier New" w:hint="default"/>
      </w:rPr>
    </w:lvl>
    <w:lvl w:ilvl="5" w:tplc="2C0A0005" w:tentative="1">
      <w:start w:val="1"/>
      <w:numFmt w:val="bullet"/>
      <w:lvlText w:val=""/>
      <w:lvlJc w:val="left"/>
      <w:pPr>
        <w:ind w:left="4401" w:hanging="360"/>
      </w:pPr>
      <w:rPr>
        <w:rFonts w:ascii="Wingdings" w:hAnsi="Wingdings" w:hint="default"/>
      </w:rPr>
    </w:lvl>
    <w:lvl w:ilvl="6" w:tplc="2C0A0001" w:tentative="1">
      <w:start w:val="1"/>
      <w:numFmt w:val="bullet"/>
      <w:lvlText w:val=""/>
      <w:lvlJc w:val="left"/>
      <w:pPr>
        <w:ind w:left="5121" w:hanging="360"/>
      </w:pPr>
      <w:rPr>
        <w:rFonts w:ascii="Symbol" w:hAnsi="Symbol" w:hint="default"/>
      </w:rPr>
    </w:lvl>
    <w:lvl w:ilvl="7" w:tplc="2C0A0003" w:tentative="1">
      <w:start w:val="1"/>
      <w:numFmt w:val="bullet"/>
      <w:lvlText w:val="o"/>
      <w:lvlJc w:val="left"/>
      <w:pPr>
        <w:ind w:left="5841" w:hanging="360"/>
      </w:pPr>
      <w:rPr>
        <w:rFonts w:ascii="Courier New" w:hAnsi="Courier New" w:cs="Courier New" w:hint="default"/>
      </w:rPr>
    </w:lvl>
    <w:lvl w:ilvl="8" w:tplc="2C0A0005" w:tentative="1">
      <w:start w:val="1"/>
      <w:numFmt w:val="bullet"/>
      <w:lvlText w:val=""/>
      <w:lvlJc w:val="left"/>
      <w:pPr>
        <w:ind w:left="6561" w:hanging="360"/>
      </w:pPr>
      <w:rPr>
        <w:rFonts w:ascii="Wingdings" w:hAnsi="Wingdings" w:hint="default"/>
      </w:rPr>
    </w:lvl>
  </w:abstractNum>
  <w:abstractNum w:abstractNumId="5" w15:restartNumberingAfterBreak="0">
    <w:nsid w:val="68170B3B"/>
    <w:multiLevelType w:val="hybridMultilevel"/>
    <w:tmpl w:val="835ABC20"/>
    <w:lvl w:ilvl="0" w:tplc="86F83CF8">
      <w:start w:val="1"/>
      <w:numFmt w:val="ordinal"/>
      <w:pStyle w:val="Estilo1"/>
      <w:lvlText w:val="Artículo %1 - "/>
      <w:lvlJc w:val="left"/>
      <w:pPr>
        <w:ind w:left="720" w:hanging="360"/>
      </w:pPr>
      <w:rPr>
        <w:rFonts w:hint="default"/>
        <w:b/>
        <w:bCs/>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E9B6E11"/>
    <w:multiLevelType w:val="hybridMultilevel"/>
    <w:tmpl w:val="6D36294A"/>
    <w:lvl w:ilvl="0" w:tplc="D17893C4">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2311F47"/>
    <w:multiLevelType w:val="hybridMultilevel"/>
    <w:tmpl w:val="89448C1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C2C03CE"/>
    <w:multiLevelType w:val="hybridMultilevel"/>
    <w:tmpl w:val="6B7E3F82"/>
    <w:lvl w:ilvl="0" w:tplc="D17893C4">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7"/>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gutterAtTop/>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54"/>
    <w:rsid w:val="000029AB"/>
    <w:rsid w:val="00002A1F"/>
    <w:rsid w:val="0000458A"/>
    <w:rsid w:val="00004840"/>
    <w:rsid w:val="00012016"/>
    <w:rsid w:val="00013C7D"/>
    <w:rsid w:val="000255F9"/>
    <w:rsid w:val="00027230"/>
    <w:rsid w:val="00037D87"/>
    <w:rsid w:val="00041345"/>
    <w:rsid w:val="000448EC"/>
    <w:rsid w:val="00044B8E"/>
    <w:rsid w:val="00046B54"/>
    <w:rsid w:val="00047370"/>
    <w:rsid w:val="00051BD6"/>
    <w:rsid w:val="000630CD"/>
    <w:rsid w:val="000659BE"/>
    <w:rsid w:val="000676FE"/>
    <w:rsid w:val="00077C34"/>
    <w:rsid w:val="00084742"/>
    <w:rsid w:val="0008743A"/>
    <w:rsid w:val="000903F9"/>
    <w:rsid w:val="00092F4F"/>
    <w:rsid w:val="00093F3E"/>
    <w:rsid w:val="00095253"/>
    <w:rsid w:val="000967E7"/>
    <w:rsid w:val="00097F47"/>
    <w:rsid w:val="000B49D2"/>
    <w:rsid w:val="000C5C3D"/>
    <w:rsid w:val="000C6422"/>
    <w:rsid w:val="000D669D"/>
    <w:rsid w:val="000E1FF6"/>
    <w:rsid w:val="000E3ADE"/>
    <w:rsid w:val="000E3C99"/>
    <w:rsid w:val="001013EA"/>
    <w:rsid w:val="00110859"/>
    <w:rsid w:val="0012276F"/>
    <w:rsid w:val="00133F46"/>
    <w:rsid w:val="00135FE7"/>
    <w:rsid w:val="001448D4"/>
    <w:rsid w:val="00150842"/>
    <w:rsid w:val="00155BB8"/>
    <w:rsid w:val="001609E1"/>
    <w:rsid w:val="001609FD"/>
    <w:rsid w:val="0016147E"/>
    <w:rsid w:val="0016269E"/>
    <w:rsid w:val="00174DF7"/>
    <w:rsid w:val="00175EC2"/>
    <w:rsid w:val="001865C5"/>
    <w:rsid w:val="001916A3"/>
    <w:rsid w:val="0019330D"/>
    <w:rsid w:val="001952A2"/>
    <w:rsid w:val="001A4438"/>
    <w:rsid w:val="001B1DE2"/>
    <w:rsid w:val="001B5C9F"/>
    <w:rsid w:val="001C6BBE"/>
    <w:rsid w:val="001D1860"/>
    <w:rsid w:val="001E0F69"/>
    <w:rsid w:val="001E3F78"/>
    <w:rsid w:val="001E4406"/>
    <w:rsid w:val="001E7F5C"/>
    <w:rsid w:val="001E7F65"/>
    <w:rsid w:val="001F6912"/>
    <w:rsid w:val="001F7336"/>
    <w:rsid w:val="0021499D"/>
    <w:rsid w:val="002160F5"/>
    <w:rsid w:val="002179DD"/>
    <w:rsid w:val="00222649"/>
    <w:rsid w:val="00223F92"/>
    <w:rsid w:val="00233548"/>
    <w:rsid w:val="00241045"/>
    <w:rsid w:val="00245434"/>
    <w:rsid w:val="0026032E"/>
    <w:rsid w:val="0026547F"/>
    <w:rsid w:val="00266876"/>
    <w:rsid w:val="00267244"/>
    <w:rsid w:val="002724BA"/>
    <w:rsid w:val="002753D9"/>
    <w:rsid w:val="00293E81"/>
    <w:rsid w:val="002A108B"/>
    <w:rsid w:val="002A10D1"/>
    <w:rsid w:val="002A3123"/>
    <w:rsid w:val="002A3351"/>
    <w:rsid w:val="002B2FDA"/>
    <w:rsid w:val="002D1A56"/>
    <w:rsid w:val="002D4D3D"/>
    <w:rsid w:val="002D59FC"/>
    <w:rsid w:val="002E611F"/>
    <w:rsid w:val="002E7972"/>
    <w:rsid w:val="00300546"/>
    <w:rsid w:val="00305415"/>
    <w:rsid w:val="003140B2"/>
    <w:rsid w:val="00317880"/>
    <w:rsid w:val="00331846"/>
    <w:rsid w:val="00331FC0"/>
    <w:rsid w:val="00333AED"/>
    <w:rsid w:val="00334229"/>
    <w:rsid w:val="00334D54"/>
    <w:rsid w:val="00341008"/>
    <w:rsid w:val="00341046"/>
    <w:rsid w:val="003442AE"/>
    <w:rsid w:val="00354E6F"/>
    <w:rsid w:val="003564AF"/>
    <w:rsid w:val="00363EC5"/>
    <w:rsid w:val="003651C6"/>
    <w:rsid w:val="00367DB8"/>
    <w:rsid w:val="00374150"/>
    <w:rsid w:val="00374D09"/>
    <w:rsid w:val="0037650F"/>
    <w:rsid w:val="00391C2E"/>
    <w:rsid w:val="003A2D01"/>
    <w:rsid w:val="003A6B01"/>
    <w:rsid w:val="003B23D8"/>
    <w:rsid w:val="003C6097"/>
    <w:rsid w:val="003C644D"/>
    <w:rsid w:val="003C6700"/>
    <w:rsid w:val="003D548D"/>
    <w:rsid w:val="003E3849"/>
    <w:rsid w:val="003F27B6"/>
    <w:rsid w:val="00400C4F"/>
    <w:rsid w:val="00415BD8"/>
    <w:rsid w:val="00421EC5"/>
    <w:rsid w:val="00430696"/>
    <w:rsid w:val="0043193F"/>
    <w:rsid w:val="00437436"/>
    <w:rsid w:val="004434EA"/>
    <w:rsid w:val="004547ED"/>
    <w:rsid w:val="00456A49"/>
    <w:rsid w:val="00462A77"/>
    <w:rsid w:val="00477079"/>
    <w:rsid w:val="00477185"/>
    <w:rsid w:val="00482876"/>
    <w:rsid w:val="00484A93"/>
    <w:rsid w:val="004870A3"/>
    <w:rsid w:val="004A1891"/>
    <w:rsid w:val="004A3B77"/>
    <w:rsid w:val="004B66DC"/>
    <w:rsid w:val="004D62EB"/>
    <w:rsid w:val="004F0B6E"/>
    <w:rsid w:val="004F1118"/>
    <w:rsid w:val="004F7D52"/>
    <w:rsid w:val="00507A6D"/>
    <w:rsid w:val="00513570"/>
    <w:rsid w:val="005149B8"/>
    <w:rsid w:val="00514C65"/>
    <w:rsid w:val="00514DED"/>
    <w:rsid w:val="005207DF"/>
    <w:rsid w:val="005215AB"/>
    <w:rsid w:val="00533579"/>
    <w:rsid w:val="00536101"/>
    <w:rsid w:val="00554488"/>
    <w:rsid w:val="00561FB5"/>
    <w:rsid w:val="0056314A"/>
    <w:rsid w:val="0056315D"/>
    <w:rsid w:val="005807C9"/>
    <w:rsid w:val="005811A1"/>
    <w:rsid w:val="005961A0"/>
    <w:rsid w:val="00597004"/>
    <w:rsid w:val="005A2ECD"/>
    <w:rsid w:val="005A418F"/>
    <w:rsid w:val="005B7516"/>
    <w:rsid w:val="005C03E7"/>
    <w:rsid w:val="005C44DF"/>
    <w:rsid w:val="005D0F42"/>
    <w:rsid w:val="005D3D5D"/>
    <w:rsid w:val="005D5695"/>
    <w:rsid w:val="005E5C0A"/>
    <w:rsid w:val="005E76CB"/>
    <w:rsid w:val="005F1E5C"/>
    <w:rsid w:val="005F468A"/>
    <w:rsid w:val="00603EC1"/>
    <w:rsid w:val="00613226"/>
    <w:rsid w:val="0061599A"/>
    <w:rsid w:val="00615ABC"/>
    <w:rsid w:val="00620A7F"/>
    <w:rsid w:val="00621837"/>
    <w:rsid w:val="00623FA8"/>
    <w:rsid w:val="00654978"/>
    <w:rsid w:val="0066169D"/>
    <w:rsid w:val="00663010"/>
    <w:rsid w:val="006721BE"/>
    <w:rsid w:val="00684388"/>
    <w:rsid w:val="0069163B"/>
    <w:rsid w:val="006B3435"/>
    <w:rsid w:val="006B7EA4"/>
    <w:rsid w:val="006C6913"/>
    <w:rsid w:val="006C77CF"/>
    <w:rsid w:val="006D22A9"/>
    <w:rsid w:val="006D709D"/>
    <w:rsid w:val="006E0220"/>
    <w:rsid w:val="006F1B03"/>
    <w:rsid w:val="006F363D"/>
    <w:rsid w:val="006F7F77"/>
    <w:rsid w:val="00704C5F"/>
    <w:rsid w:val="007146B8"/>
    <w:rsid w:val="00721DAD"/>
    <w:rsid w:val="00734017"/>
    <w:rsid w:val="007368A1"/>
    <w:rsid w:val="007530C1"/>
    <w:rsid w:val="00755C39"/>
    <w:rsid w:val="0076136C"/>
    <w:rsid w:val="00797A2D"/>
    <w:rsid w:val="007A31BA"/>
    <w:rsid w:val="007A4302"/>
    <w:rsid w:val="007A6768"/>
    <w:rsid w:val="007B25D3"/>
    <w:rsid w:val="007C5422"/>
    <w:rsid w:val="007D0010"/>
    <w:rsid w:val="007D4AD6"/>
    <w:rsid w:val="007E10EC"/>
    <w:rsid w:val="007E14F9"/>
    <w:rsid w:val="007E49AA"/>
    <w:rsid w:val="007F0CAF"/>
    <w:rsid w:val="007F42A3"/>
    <w:rsid w:val="008031CB"/>
    <w:rsid w:val="00814C08"/>
    <w:rsid w:val="008153D6"/>
    <w:rsid w:val="008418A7"/>
    <w:rsid w:val="00856621"/>
    <w:rsid w:val="0089781B"/>
    <w:rsid w:val="008A76A5"/>
    <w:rsid w:val="008B2C61"/>
    <w:rsid w:val="008B3AE8"/>
    <w:rsid w:val="008B5E73"/>
    <w:rsid w:val="008D359F"/>
    <w:rsid w:val="008E4306"/>
    <w:rsid w:val="00901F87"/>
    <w:rsid w:val="00905DBC"/>
    <w:rsid w:val="00913142"/>
    <w:rsid w:val="00914468"/>
    <w:rsid w:val="009149A0"/>
    <w:rsid w:val="00915F6E"/>
    <w:rsid w:val="00924255"/>
    <w:rsid w:val="00934BD6"/>
    <w:rsid w:val="0093537F"/>
    <w:rsid w:val="00943E7B"/>
    <w:rsid w:val="009525E9"/>
    <w:rsid w:val="00957CFD"/>
    <w:rsid w:val="00964A6A"/>
    <w:rsid w:val="00967F92"/>
    <w:rsid w:val="00976123"/>
    <w:rsid w:val="00976ADA"/>
    <w:rsid w:val="009800E8"/>
    <w:rsid w:val="009806B4"/>
    <w:rsid w:val="009848C7"/>
    <w:rsid w:val="00985FA0"/>
    <w:rsid w:val="0098651C"/>
    <w:rsid w:val="00990005"/>
    <w:rsid w:val="00994F8C"/>
    <w:rsid w:val="009B5345"/>
    <w:rsid w:val="009B54FF"/>
    <w:rsid w:val="009C5B4B"/>
    <w:rsid w:val="009D1963"/>
    <w:rsid w:val="009D5969"/>
    <w:rsid w:val="009E037F"/>
    <w:rsid w:val="009E21E5"/>
    <w:rsid w:val="009E2FD5"/>
    <w:rsid w:val="009E6678"/>
    <w:rsid w:val="009F3B9F"/>
    <w:rsid w:val="00A278BD"/>
    <w:rsid w:val="00A318AE"/>
    <w:rsid w:val="00A3247D"/>
    <w:rsid w:val="00A327FF"/>
    <w:rsid w:val="00A33E4A"/>
    <w:rsid w:val="00A3464A"/>
    <w:rsid w:val="00A34C86"/>
    <w:rsid w:val="00A46009"/>
    <w:rsid w:val="00A5355A"/>
    <w:rsid w:val="00A5387C"/>
    <w:rsid w:val="00A53CD5"/>
    <w:rsid w:val="00A5544A"/>
    <w:rsid w:val="00A55558"/>
    <w:rsid w:val="00A75DF2"/>
    <w:rsid w:val="00A80DEC"/>
    <w:rsid w:val="00A821A5"/>
    <w:rsid w:val="00A842D6"/>
    <w:rsid w:val="00A85D0A"/>
    <w:rsid w:val="00A85F16"/>
    <w:rsid w:val="00A865DF"/>
    <w:rsid w:val="00A93503"/>
    <w:rsid w:val="00A97ED9"/>
    <w:rsid w:val="00AA74A7"/>
    <w:rsid w:val="00AB312A"/>
    <w:rsid w:val="00AB403E"/>
    <w:rsid w:val="00AB6B83"/>
    <w:rsid w:val="00AD3EFA"/>
    <w:rsid w:val="00AE4CA7"/>
    <w:rsid w:val="00AE60B0"/>
    <w:rsid w:val="00AF6CEE"/>
    <w:rsid w:val="00AF713E"/>
    <w:rsid w:val="00B00456"/>
    <w:rsid w:val="00B06A7F"/>
    <w:rsid w:val="00B06B70"/>
    <w:rsid w:val="00B10FB0"/>
    <w:rsid w:val="00B12256"/>
    <w:rsid w:val="00B220FF"/>
    <w:rsid w:val="00B303B1"/>
    <w:rsid w:val="00B31F0E"/>
    <w:rsid w:val="00B43138"/>
    <w:rsid w:val="00B45054"/>
    <w:rsid w:val="00B6594D"/>
    <w:rsid w:val="00B72FCD"/>
    <w:rsid w:val="00B734A8"/>
    <w:rsid w:val="00B85D23"/>
    <w:rsid w:val="00BA5165"/>
    <w:rsid w:val="00BA780B"/>
    <w:rsid w:val="00BC2E1C"/>
    <w:rsid w:val="00BD5281"/>
    <w:rsid w:val="00BD5DC2"/>
    <w:rsid w:val="00BE04DF"/>
    <w:rsid w:val="00BF3B52"/>
    <w:rsid w:val="00BF6D48"/>
    <w:rsid w:val="00C026DB"/>
    <w:rsid w:val="00C061EF"/>
    <w:rsid w:val="00C30BB3"/>
    <w:rsid w:val="00C316C6"/>
    <w:rsid w:val="00C411B7"/>
    <w:rsid w:val="00C41389"/>
    <w:rsid w:val="00C43113"/>
    <w:rsid w:val="00C5547A"/>
    <w:rsid w:val="00C62192"/>
    <w:rsid w:val="00C65F48"/>
    <w:rsid w:val="00C67236"/>
    <w:rsid w:val="00C736A2"/>
    <w:rsid w:val="00C7382F"/>
    <w:rsid w:val="00C75CED"/>
    <w:rsid w:val="00C76F3F"/>
    <w:rsid w:val="00C80B17"/>
    <w:rsid w:val="00C863D5"/>
    <w:rsid w:val="00C97002"/>
    <w:rsid w:val="00CA50EC"/>
    <w:rsid w:val="00CB2812"/>
    <w:rsid w:val="00CB40C4"/>
    <w:rsid w:val="00CC163C"/>
    <w:rsid w:val="00CD512A"/>
    <w:rsid w:val="00CD5EAB"/>
    <w:rsid w:val="00CE0490"/>
    <w:rsid w:val="00CE1A50"/>
    <w:rsid w:val="00CE6BFA"/>
    <w:rsid w:val="00D0013F"/>
    <w:rsid w:val="00D0073B"/>
    <w:rsid w:val="00D13768"/>
    <w:rsid w:val="00D25447"/>
    <w:rsid w:val="00D30161"/>
    <w:rsid w:val="00D35D1F"/>
    <w:rsid w:val="00D4028D"/>
    <w:rsid w:val="00D520D0"/>
    <w:rsid w:val="00D7016C"/>
    <w:rsid w:val="00D7123B"/>
    <w:rsid w:val="00D7190B"/>
    <w:rsid w:val="00D72EB7"/>
    <w:rsid w:val="00D75561"/>
    <w:rsid w:val="00D82100"/>
    <w:rsid w:val="00D846F1"/>
    <w:rsid w:val="00D864E1"/>
    <w:rsid w:val="00D87B75"/>
    <w:rsid w:val="00D90D14"/>
    <w:rsid w:val="00D9459F"/>
    <w:rsid w:val="00DB07E5"/>
    <w:rsid w:val="00DC102B"/>
    <w:rsid w:val="00DC1E15"/>
    <w:rsid w:val="00DD099E"/>
    <w:rsid w:val="00DD39AD"/>
    <w:rsid w:val="00DF4618"/>
    <w:rsid w:val="00E012F6"/>
    <w:rsid w:val="00E032C1"/>
    <w:rsid w:val="00E06BE3"/>
    <w:rsid w:val="00E102AE"/>
    <w:rsid w:val="00E25847"/>
    <w:rsid w:val="00E33305"/>
    <w:rsid w:val="00E36716"/>
    <w:rsid w:val="00E44A18"/>
    <w:rsid w:val="00E63A93"/>
    <w:rsid w:val="00E66118"/>
    <w:rsid w:val="00E728CB"/>
    <w:rsid w:val="00E74824"/>
    <w:rsid w:val="00E8342D"/>
    <w:rsid w:val="00E83C23"/>
    <w:rsid w:val="00EA197C"/>
    <w:rsid w:val="00EA2893"/>
    <w:rsid w:val="00EB743D"/>
    <w:rsid w:val="00EC2098"/>
    <w:rsid w:val="00EC71CD"/>
    <w:rsid w:val="00ED65A6"/>
    <w:rsid w:val="00EE57D6"/>
    <w:rsid w:val="00EF1BF9"/>
    <w:rsid w:val="00EF6100"/>
    <w:rsid w:val="00F010DC"/>
    <w:rsid w:val="00F12805"/>
    <w:rsid w:val="00F15B68"/>
    <w:rsid w:val="00F2230B"/>
    <w:rsid w:val="00F300C9"/>
    <w:rsid w:val="00F323B1"/>
    <w:rsid w:val="00F367CC"/>
    <w:rsid w:val="00F56354"/>
    <w:rsid w:val="00F57A25"/>
    <w:rsid w:val="00F601E8"/>
    <w:rsid w:val="00F72D42"/>
    <w:rsid w:val="00F74C8D"/>
    <w:rsid w:val="00F7775A"/>
    <w:rsid w:val="00F854DC"/>
    <w:rsid w:val="00F93405"/>
    <w:rsid w:val="00F97EFF"/>
    <w:rsid w:val="00FA6B23"/>
    <w:rsid w:val="00FB432A"/>
    <w:rsid w:val="00FC68CC"/>
    <w:rsid w:val="00FD7683"/>
    <w:rsid w:val="00FE0B1D"/>
    <w:rsid w:val="00FE4048"/>
    <w:rsid w:val="00FE449E"/>
    <w:rsid w:val="00FE4FB3"/>
    <w:rsid w:val="00FE5CF4"/>
    <w:rsid w:val="00FE61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9F083"/>
  <w15:docId w15:val="{FB14CF09-E071-46E8-8D19-095D2C0A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1">
    <w:name w:val="heading 1"/>
    <w:basedOn w:val="Normal"/>
    <w:next w:val="Normal"/>
    <w:link w:val="Ttulo1Car"/>
    <w:uiPriority w:val="9"/>
    <w:qFormat/>
    <w:rsid w:val="007368A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365F91" w:themeColor="accent1" w:themeShade="BF"/>
      <w:sz w:val="32"/>
      <w:szCs w:val="32"/>
      <w:bdr w:val="none" w:sz="0" w:space="0" w:color="auto"/>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customStyle="1" w:styleId="Centrado">
    <w:name w:val="Centrado"/>
    <w:pPr>
      <w:spacing w:after="240" w:line="276" w:lineRule="auto"/>
      <w:jc w:val="center"/>
    </w:pPr>
    <w:rPr>
      <w:rFonts w:ascii="Arial" w:hAnsi="Arial" w:cs="Arial Unicode MS"/>
      <w:color w:val="000000"/>
      <w:sz w:val="28"/>
      <w:szCs w:val="28"/>
      <w:u w:color="000000"/>
      <w:lang w:val="es-ES_tradnl"/>
    </w:rPr>
  </w:style>
  <w:style w:type="paragraph" w:customStyle="1" w:styleId="Cuerpo">
    <w:name w:val="Cuerpo"/>
    <w:link w:val="CuerpoCar"/>
    <w:pPr>
      <w:spacing w:after="240" w:line="276" w:lineRule="auto"/>
      <w:jc w:val="both"/>
    </w:pPr>
    <w:rPr>
      <w:rFonts w:ascii="Arial" w:hAnsi="Arial" w:cs="Arial Unicode MS"/>
      <w:color w:val="000000"/>
      <w:sz w:val="28"/>
      <w:szCs w:val="28"/>
      <w:u w:color="000000"/>
      <w:lang w:val="es-ES_tradnl"/>
    </w:rPr>
  </w:style>
  <w:style w:type="character" w:customStyle="1" w:styleId="Ninguno">
    <w:name w:val="Ninguno"/>
    <w:rPr>
      <w:lang w:val="es-ES_tradnl"/>
    </w:rPr>
  </w:style>
  <w:style w:type="paragraph" w:customStyle="1" w:styleId="Estilo5">
    <w:name w:val="Estilo5"/>
    <w:basedOn w:val="Prrafodelista"/>
    <w:link w:val="Estilo5Car"/>
    <w:autoRedefine/>
    <w:rsid w:val="001E7F65"/>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after="200" w:line="276" w:lineRule="auto"/>
      <w:ind w:left="1006" w:hanging="360"/>
      <w:jc w:val="center"/>
    </w:pPr>
    <w:rPr>
      <w:rFonts w:asciiTheme="minorHAnsi" w:eastAsiaTheme="minorEastAsia" w:hAnsiTheme="minorHAnsi" w:cstheme="minorBidi"/>
      <w:sz w:val="20"/>
      <w:szCs w:val="20"/>
      <w:bdr w:val="none" w:sz="0" w:space="0" w:color="auto"/>
      <w:lang w:val="es-AR"/>
    </w:rPr>
  </w:style>
  <w:style w:type="character" w:customStyle="1" w:styleId="Estilo5Car">
    <w:name w:val="Estilo5 Car"/>
    <w:basedOn w:val="Fuentedeprrafopredeter"/>
    <w:link w:val="Estilo5"/>
    <w:rsid w:val="001E7F65"/>
    <w:rPr>
      <w:rFonts w:asciiTheme="minorHAnsi" w:eastAsiaTheme="minorEastAsia" w:hAnsiTheme="minorHAnsi" w:cstheme="minorBidi"/>
      <w:bdr w:val="none" w:sz="0" w:space="0" w:color="auto"/>
      <w:lang w:eastAsia="en-US"/>
    </w:rPr>
  </w:style>
  <w:style w:type="paragraph" w:styleId="Prrafodelista">
    <w:name w:val="List Paragraph"/>
    <w:basedOn w:val="Normal"/>
    <w:uiPriority w:val="34"/>
    <w:qFormat/>
    <w:rsid w:val="001E7F65"/>
    <w:pPr>
      <w:ind w:left="720"/>
      <w:contextualSpacing/>
    </w:pPr>
  </w:style>
  <w:style w:type="paragraph" w:styleId="Textodeglobo">
    <w:name w:val="Balloon Text"/>
    <w:basedOn w:val="Normal"/>
    <w:link w:val="TextodegloboCar"/>
    <w:uiPriority w:val="99"/>
    <w:semiHidden/>
    <w:unhideWhenUsed/>
    <w:rsid w:val="001A44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4438"/>
    <w:rPr>
      <w:rFonts w:ascii="Segoe UI" w:hAnsi="Segoe UI" w:cs="Segoe UI"/>
      <w:sz w:val="18"/>
      <w:szCs w:val="18"/>
      <w:lang w:val="en-US" w:eastAsia="en-US"/>
    </w:rPr>
  </w:style>
  <w:style w:type="paragraph" w:styleId="Encabezado">
    <w:name w:val="header"/>
    <w:basedOn w:val="Normal"/>
    <w:link w:val="EncabezadoCar"/>
    <w:uiPriority w:val="99"/>
    <w:unhideWhenUsed/>
    <w:rsid w:val="00DD39AD"/>
    <w:pPr>
      <w:tabs>
        <w:tab w:val="center" w:pos="4252"/>
        <w:tab w:val="right" w:pos="8504"/>
      </w:tabs>
    </w:pPr>
  </w:style>
  <w:style w:type="character" w:customStyle="1" w:styleId="EncabezadoCar">
    <w:name w:val="Encabezado Car"/>
    <w:basedOn w:val="Fuentedeprrafopredeter"/>
    <w:link w:val="Encabezado"/>
    <w:uiPriority w:val="99"/>
    <w:rsid w:val="00DD39AD"/>
    <w:rPr>
      <w:sz w:val="24"/>
      <w:szCs w:val="24"/>
      <w:lang w:val="en-US" w:eastAsia="en-US"/>
    </w:rPr>
  </w:style>
  <w:style w:type="paragraph" w:styleId="Piedepgina">
    <w:name w:val="footer"/>
    <w:basedOn w:val="Normal"/>
    <w:link w:val="PiedepginaCar"/>
    <w:uiPriority w:val="99"/>
    <w:unhideWhenUsed/>
    <w:rsid w:val="00DD39AD"/>
    <w:pPr>
      <w:tabs>
        <w:tab w:val="center" w:pos="4252"/>
        <w:tab w:val="right" w:pos="8504"/>
      </w:tabs>
    </w:pPr>
  </w:style>
  <w:style w:type="character" w:customStyle="1" w:styleId="PiedepginaCar">
    <w:name w:val="Pie de página Car"/>
    <w:basedOn w:val="Fuentedeprrafopredeter"/>
    <w:link w:val="Piedepgina"/>
    <w:uiPriority w:val="99"/>
    <w:rsid w:val="00DD39AD"/>
    <w:rPr>
      <w:sz w:val="24"/>
      <w:szCs w:val="24"/>
      <w:lang w:val="en-US" w:eastAsia="en-US"/>
    </w:rPr>
  </w:style>
  <w:style w:type="paragraph" w:customStyle="1" w:styleId="Estilo1">
    <w:name w:val="Estilo1"/>
    <w:basedOn w:val="Cuerpo"/>
    <w:link w:val="Estilo1Car"/>
    <w:qFormat/>
    <w:rsid w:val="001F6912"/>
    <w:pPr>
      <w:numPr>
        <w:numId w:val="6"/>
      </w:numPr>
      <w:ind w:left="0" w:firstLine="0"/>
    </w:pPr>
    <w:rPr>
      <w:lang w:val="es-AR"/>
    </w:rPr>
  </w:style>
  <w:style w:type="character" w:customStyle="1" w:styleId="CuerpoCar">
    <w:name w:val="Cuerpo Car"/>
    <w:basedOn w:val="Fuentedeprrafopredeter"/>
    <w:link w:val="Cuerpo"/>
    <w:rsid w:val="001B1DE2"/>
    <w:rPr>
      <w:rFonts w:ascii="Arial" w:hAnsi="Arial" w:cs="Arial Unicode MS"/>
      <w:color w:val="000000"/>
      <w:sz w:val="28"/>
      <w:szCs w:val="28"/>
      <w:u w:color="000000"/>
      <w:lang w:val="es-ES_tradnl"/>
    </w:rPr>
  </w:style>
  <w:style w:type="character" w:customStyle="1" w:styleId="Estilo1Car">
    <w:name w:val="Estilo1 Car"/>
    <w:basedOn w:val="CuerpoCar"/>
    <w:link w:val="Estilo1"/>
    <w:rsid w:val="001F6912"/>
    <w:rPr>
      <w:rFonts w:ascii="Arial" w:hAnsi="Arial" w:cs="Arial Unicode MS"/>
      <w:color w:val="000000"/>
      <w:sz w:val="28"/>
      <w:szCs w:val="28"/>
      <w:u w:color="000000"/>
      <w:lang w:val="es-ES_tradnl"/>
    </w:rPr>
  </w:style>
  <w:style w:type="character" w:customStyle="1" w:styleId="Ttulo1Car">
    <w:name w:val="Título 1 Car"/>
    <w:basedOn w:val="Fuentedeprrafopredeter"/>
    <w:link w:val="Ttulo1"/>
    <w:uiPriority w:val="9"/>
    <w:rsid w:val="007368A1"/>
    <w:rPr>
      <w:rFonts w:asciiTheme="majorHAnsi" w:eastAsiaTheme="majorEastAsia" w:hAnsiTheme="majorHAnsi" w:cstheme="majorBidi"/>
      <w:color w:val="365F91" w:themeColor="accent1" w:themeShade="BF"/>
      <w:sz w:val="32"/>
      <w:szCs w:val="32"/>
      <w:bdr w:val="none" w:sz="0" w:space="0" w:color="auto"/>
    </w:rPr>
  </w:style>
  <w:style w:type="paragraph" w:styleId="Bibliografa">
    <w:name w:val="Bibliography"/>
    <w:basedOn w:val="Normal"/>
    <w:next w:val="Normal"/>
    <w:uiPriority w:val="37"/>
    <w:unhideWhenUsed/>
    <w:rsid w:val="007368A1"/>
  </w:style>
  <w:style w:type="paragraph" w:styleId="Textonotapie">
    <w:name w:val="footnote text"/>
    <w:basedOn w:val="Normal"/>
    <w:link w:val="TextonotapieCar"/>
    <w:uiPriority w:val="99"/>
    <w:semiHidden/>
    <w:unhideWhenUsed/>
    <w:rsid w:val="007368A1"/>
    <w:rPr>
      <w:sz w:val="20"/>
      <w:szCs w:val="20"/>
    </w:rPr>
  </w:style>
  <w:style w:type="character" w:customStyle="1" w:styleId="TextonotapieCar">
    <w:name w:val="Texto nota pie Car"/>
    <w:basedOn w:val="Fuentedeprrafopredeter"/>
    <w:link w:val="Textonotapie"/>
    <w:uiPriority w:val="99"/>
    <w:semiHidden/>
    <w:rsid w:val="007368A1"/>
    <w:rPr>
      <w:lang w:val="en-US" w:eastAsia="en-US"/>
    </w:rPr>
  </w:style>
  <w:style w:type="character" w:styleId="Refdenotaalpie">
    <w:name w:val="footnote reference"/>
    <w:basedOn w:val="Fuentedeprrafopredeter"/>
    <w:uiPriority w:val="99"/>
    <w:semiHidden/>
    <w:unhideWhenUsed/>
    <w:rsid w:val="007368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5921">
      <w:bodyDiv w:val="1"/>
      <w:marLeft w:val="0"/>
      <w:marRight w:val="0"/>
      <w:marTop w:val="0"/>
      <w:marBottom w:val="0"/>
      <w:divBdr>
        <w:top w:val="none" w:sz="0" w:space="0" w:color="auto"/>
        <w:left w:val="none" w:sz="0" w:space="0" w:color="auto"/>
        <w:bottom w:val="none" w:sz="0" w:space="0" w:color="auto"/>
        <w:right w:val="none" w:sz="0" w:space="0" w:color="auto"/>
      </w:divBdr>
    </w:div>
    <w:div w:id="792139757">
      <w:bodyDiv w:val="1"/>
      <w:marLeft w:val="0"/>
      <w:marRight w:val="0"/>
      <w:marTop w:val="0"/>
      <w:marBottom w:val="0"/>
      <w:divBdr>
        <w:top w:val="none" w:sz="0" w:space="0" w:color="auto"/>
        <w:left w:val="none" w:sz="0" w:space="0" w:color="auto"/>
        <w:bottom w:val="none" w:sz="0" w:space="0" w:color="auto"/>
        <w:right w:val="none" w:sz="0" w:space="0" w:color="auto"/>
      </w:divBdr>
    </w:div>
    <w:div w:id="1053700777">
      <w:bodyDiv w:val="1"/>
      <w:marLeft w:val="0"/>
      <w:marRight w:val="0"/>
      <w:marTop w:val="0"/>
      <w:marBottom w:val="0"/>
      <w:divBdr>
        <w:top w:val="none" w:sz="0" w:space="0" w:color="auto"/>
        <w:left w:val="none" w:sz="0" w:space="0" w:color="auto"/>
        <w:bottom w:val="none" w:sz="0" w:space="0" w:color="auto"/>
        <w:right w:val="none" w:sz="0" w:space="0" w:color="auto"/>
      </w:divBdr>
    </w:div>
    <w:div w:id="1083842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b:Source>
    <b:Tag>Alo98</b:Tag>
    <b:SourceType>Book</b:SourceType>
    <b:Guid>{4D29E5AE-2D63-444A-AC51-05C09893B2C2}</b:Guid>
    <b:Title>A orillas del Ferro-Carril</b:Title>
    <b:City>Pico Truncado</b:City>
    <b:Year>1998</b:Year>
    <b:Author>
      <b:Author>
        <b:NameList>
          <b:Person>
            <b:Last>Alonso</b:Last>
            <b:Middle>Alberto</b:Middle>
            <b:First>José</b:First>
          </b:Person>
        </b:NameList>
      </b:Author>
    </b:Author>
    <b:RefOrder>1</b:RefOrder>
  </b:Source>
</b:Sources>
</file>

<file path=customXml/itemProps1.xml><?xml version="1.0" encoding="utf-8"?>
<ds:datastoreItem xmlns:ds="http://schemas.openxmlformats.org/officeDocument/2006/customXml" ds:itemID="{D53177AD-28B9-4862-A4F9-3E430DB8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984</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Nicolás Font</cp:lastModifiedBy>
  <cp:revision>49</cp:revision>
  <cp:lastPrinted>2019-04-03T16:55:00Z</cp:lastPrinted>
  <dcterms:created xsi:type="dcterms:W3CDTF">2021-06-07T00:23:00Z</dcterms:created>
  <dcterms:modified xsi:type="dcterms:W3CDTF">2021-06-07T02:07:00Z</dcterms:modified>
</cp:coreProperties>
</file>